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0253E" w14:textId="091B127E" w:rsidR="00B56C61" w:rsidRDefault="00B56C61" w:rsidP="00A33F73">
      <w:pPr>
        <w:spacing w:after="240"/>
      </w:pPr>
    </w:p>
    <w:p w14:paraId="2D947184" w14:textId="77777777" w:rsidR="00B56C61" w:rsidRDefault="00B56C61" w:rsidP="00A33F73">
      <w:pPr>
        <w:spacing w:after="240"/>
      </w:pPr>
    </w:p>
    <w:p w14:paraId="32D3AB92" w14:textId="0CF4D435" w:rsidR="00B56C61" w:rsidRDefault="008419A5" w:rsidP="008419A5">
      <w:pPr>
        <w:spacing w:after="240"/>
        <w:jc w:val="center"/>
      </w:pPr>
      <w:r w:rsidRPr="00294D36">
        <w:rPr>
          <w:rFonts w:ascii="Arial" w:hAnsi="Arial" w:cs="Arial"/>
          <w:b/>
          <w:noProof/>
          <w:w w:val="95"/>
        </w:rPr>
        <w:drawing>
          <wp:inline distT="0" distB="0" distL="0" distR="0" wp14:anchorId="277DA150" wp14:editId="19A24C69">
            <wp:extent cx="5038725" cy="3253105"/>
            <wp:effectExtent l="0" t="0" r="0" b="0"/>
            <wp:docPr id="1" name="Picture 1" descr="highwell-light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well-lightb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9D8FA" w14:textId="77777777" w:rsidR="00B56C61" w:rsidRDefault="00B56C61" w:rsidP="00A33F73">
      <w:pPr>
        <w:spacing w:after="240"/>
      </w:pPr>
    </w:p>
    <w:p w14:paraId="60B5DFF6" w14:textId="77777777" w:rsidR="00B56C61" w:rsidRDefault="00B56C61" w:rsidP="00A33F73">
      <w:pPr>
        <w:spacing w:after="240"/>
      </w:pPr>
    </w:p>
    <w:p w14:paraId="19E44B0D" w14:textId="515E7801" w:rsidR="00262114" w:rsidRPr="008419A5" w:rsidRDefault="00B56C61" w:rsidP="008419A5">
      <w:pPr>
        <w:spacing w:after="240"/>
        <w:jc w:val="center"/>
        <w:rPr>
          <w:rFonts w:ascii="Arial" w:hAnsi="Arial" w:cs="Arial"/>
          <w:b/>
          <w:sz w:val="48"/>
          <w:szCs w:val="36"/>
        </w:rPr>
      </w:pPr>
      <w:r w:rsidRPr="008419A5">
        <w:rPr>
          <w:rFonts w:ascii="Arial" w:hAnsi="Arial" w:cs="Arial"/>
          <w:b/>
          <w:noProof/>
          <w:color w:val="1F497D" w:themeColor="text2"/>
          <w:sz w:val="48"/>
          <w:szCs w:val="36"/>
          <w:lang w:eastAsia="en-GB"/>
        </w:rPr>
        <w:t>Pupil Premium Review 2018/19</w:t>
      </w:r>
    </w:p>
    <w:p w14:paraId="1EA326D4" w14:textId="639FB319" w:rsidR="00B80272" w:rsidRPr="00A33F73" w:rsidRDefault="00B80272">
      <w:pPr>
        <w:rPr>
          <w:rFonts w:ascii="Arial" w:hAnsi="Arial" w:cs="Arial"/>
          <w:sz w:val="16"/>
          <w:szCs w:val="16"/>
        </w:rPr>
      </w:pPr>
    </w:p>
    <w:p w14:paraId="64B1EC9B" w14:textId="63D2F7B8" w:rsidR="00B80272" w:rsidRPr="00A33F73" w:rsidRDefault="00B80272">
      <w:pPr>
        <w:rPr>
          <w:rFonts w:ascii="Arial" w:hAnsi="Arial" w:cs="Arial"/>
          <w:sz w:val="16"/>
          <w:szCs w:val="16"/>
        </w:rPr>
      </w:pPr>
    </w:p>
    <w:p w14:paraId="43200235" w14:textId="580298EE" w:rsidR="00A33F73" w:rsidRDefault="00CF1B9B">
      <w:r w:rsidRPr="002954A6">
        <w:br w:type="page"/>
      </w:r>
    </w:p>
    <w:p w14:paraId="5A4CDA93" w14:textId="77777777" w:rsidR="008419A5" w:rsidRDefault="008419A5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235"/>
        <w:gridCol w:w="2155"/>
        <w:gridCol w:w="4082"/>
        <w:gridCol w:w="5103"/>
        <w:gridCol w:w="1417"/>
      </w:tblGrid>
      <w:tr w:rsidR="002954A6" w:rsidRPr="002954A6" w14:paraId="4D2BBAB9" w14:textId="77777777" w:rsidTr="00487346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4A3DE1C3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487346">
        <w:tc>
          <w:tcPr>
            <w:tcW w:w="43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602" w:type="dxa"/>
            <w:gridSpan w:val="3"/>
            <w:shd w:val="clear" w:color="auto" w:fill="auto"/>
          </w:tcPr>
          <w:p w14:paraId="232B5BB5" w14:textId="6E2DDDD9" w:rsidR="000B25ED" w:rsidRPr="002954A6" w:rsidRDefault="00406C9E" w:rsidP="00931FF7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31FF7">
              <w:rPr>
                <w:rFonts w:ascii="Arial" w:hAnsi="Arial" w:cs="Arial"/>
                <w:b/>
              </w:rPr>
              <w:t>18/19</w:t>
            </w:r>
            <w:r w:rsidR="007534D7">
              <w:rPr>
                <w:rFonts w:ascii="Arial" w:hAnsi="Arial" w:cs="Arial"/>
                <w:b/>
              </w:rPr>
              <w:t xml:space="preserve">Total PP Budget </w:t>
            </w:r>
            <w:r w:rsidR="00931FF7">
              <w:rPr>
                <w:rFonts w:ascii="Arial" w:hAnsi="Arial" w:cs="Arial"/>
                <w:b/>
              </w:rPr>
              <w:t>39,270</w:t>
            </w:r>
          </w:p>
        </w:tc>
      </w:tr>
      <w:tr w:rsidR="002954A6" w:rsidRPr="002954A6" w14:paraId="179EEF56" w14:textId="77777777" w:rsidTr="00487346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1890554A" w:rsidR="000A25FC" w:rsidRPr="00E47D92" w:rsidRDefault="000A25FC" w:rsidP="00E47D92">
            <w:pPr>
              <w:rPr>
                <w:rFonts w:ascii="Arial" w:hAnsi="Arial" w:cs="Arial"/>
                <w:b/>
              </w:rPr>
            </w:pPr>
          </w:p>
        </w:tc>
      </w:tr>
      <w:tr w:rsidR="002954A6" w:rsidRPr="002954A6" w14:paraId="4F98B0FE" w14:textId="77777777" w:rsidTr="00487346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55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487346">
        <w:trPr>
          <w:trHeight w:hRule="exact" w:val="414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470C0E2" w14:textId="64A47E75" w:rsidR="002D22A0" w:rsidRDefault="00931FF7" w:rsidP="0062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Year 11 pupils leave HWS with a qualification in Mathematics &amp; English and have secured Post 16 provision</w:t>
            </w:r>
          </w:p>
          <w:p w14:paraId="15943EF9" w14:textId="77777777" w:rsidR="00931FF7" w:rsidRDefault="00931FF7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C71104" w14:textId="77777777" w:rsidR="00931FF7" w:rsidRDefault="00931FF7" w:rsidP="0062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Reduction in the number of pupils classified as NEET compared to 2017/18</w:t>
            </w:r>
          </w:p>
          <w:p w14:paraId="2AE4B7D2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6CC663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03884D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0BE9F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DD2FE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C4566E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4930C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FA3271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6DCEED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A82494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00A60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AB8BB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D85BA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BFDA7F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2DF286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BDC4BC" w14:textId="77777777" w:rsidR="008419A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ADFA9" w14:textId="7340A295" w:rsidR="008419A5" w:rsidRPr="006C7C85" w:rsidRDefault="008419A5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Mar>
              <w:top w:w="57" w:type="dxa"/>
              <w:bottom w:w="57" w:type="dxa"/>
            </w:tcMar>
          </w:tcPr>
          <w:p w14:paraId="2EA97AC6" w14:textId="77777777" w:rsidR="00931FF7" w:rsidRDefault="00931FF7" w:rsidP="00931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Bespoke packages of support including1:1 tuition and vocational provision put in place for CiC and PP pupils at KS4 who are not engaging with/attending  education on the school site</w:t>
            </w:r>
          </w:p>
          <w:p w14:paraId="36D7BDB2" w14:textId="77777777" w:rsidR="00931FF7" w:rsidRDefault="00931FF7" w:rsidP="00931F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951F3F" w14:textId="77777777" w:rsidR="00931FF7" w:rsidRDefault="00931FF7" w:rsidP="00931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Fortnightly access to Connexions PA for independent CEAIG</w:t>
            </w:r>
          </w:p>
          <w:p w14:paraId="2CDC759A" w14:textId="77777777" w:rsidR="00931FF7" w:rsidRDefault="00931FF7" w:rsidP="00931F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2D06C" w14:textId="77777777" w:rsidR="00E47D92" w:rsidRDefault="00931FF7" w:rsidP="00931F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Bespoke transition plan for each pupil to ensure appropriate Post 16 provision is secured</w:t>
            </w:r>
          </w:p>
          <w:p w14:paraId="77F2A775" w14:textId="77777777" w:rsidR="008419A5" w:rsidRDefault="008419A5" w:rsidP="00931FF7">
            <w:pPr>
              <w:pStyle w:val="Default"/>
              <w:rPr>
                <w:sz w:val="18"/>
                <w:szCs w:val="18"/>
              </w:rPr>
            </w:pPr>
          </w:p>
          <w:p w14:paraId="330F26BF" w14:textId="77777777" w:rsidR="008419A5" w:rsidRDefault="008419A5" w:rsidP="00931FF7">
            <w:pPr>
              <w:pStyle w:val="Default"/>
              <w:rPr>
                <w:sz w:val="18"/>
                <w:szCs w:val="18"/>
              </w:rPr>
            </w:pPr>
          </w:p>
          <w:p w14:paraId="674E2EF2" w14:textId="77777777" w:rsidR="008419A5" w:rsidRDefault="008419A5" w:rsidP="00931FF7">
            <w:pPr>
              <w:pStyle w:val="Default"/>
              <w:rPr>
                <w:sz w:val="18"/>
                <w:szCs w:val="18"/>
              </w:rPr>
            </w:pPr>
          </w:p>
          <w:p w14:paraId="3D6BF7A5" w14:textId="77777777" w:rsidR="008419A5" w:rsidRDefault="008419A5" w:rsidP="00931FF7">
            <w:pPr>
              <w:pStyle w:val="Default"/>
              <w:rPr>
                <w:sz w:val="18"/>
                <w:szCs w:val="18"/>
              </w:rPr>
            </w:pPr>
          </w:p>
          <w:p w14:paraId="720846D6" w14:textId="77777777" w:rsidR="008419A5" w:rsidRDefault="008419A5" w:rsidP="00931FF7">
            <w:pPr>
              <w:pStyle w:val="Default"/>
              <w:rPr>
                <w:sz w:val="18"/>
                <w:szCs w:val="18"/>
              </w:rPr>
            </w:pPr>
          </w:p>
          <w:p w14:paraId="4C1ED28D" w14:textId="209853E3" w:rsidR="008419A5" w:rsidRPr="006C7C85" w:rsidRDefault="008419A5" w:rsidP="00931FF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14:paraId="19E99EF1" w14:textId="7371E4B5" w:rsidR="00931FF7" w:rsidRDefault="00931FF7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 of pupils left with a qualification in English and Mathematics.  Qualifications included ELC3 Functional Skills Levels 1 &amp; 2 and GCSE.</w:t>
            </w:r>
          </w:p>
          <w:p w14:paraId="0ED6F51F" w14:textId="6B787042" w:rsidR="00931FF7" w:rsidRDefault="00931FF7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pupils achieved GCSEs in English and Mathematics.</w:t>
            </w:r>
          </w:p>
          <w:p w14:paraId="2B5AF4BC" w14:textId="38107C2C" w:rsidR="00931FF7" w:rsidRDefault="00931FF7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pupils achieved GCSE Mathematics.</w:t>
            </w:r>
          </w:p>
          <w:p w14:paraId="067790BC" w14:textId="02C11111" w:rsidR="00931FF7" w:rsidRDefault="00931FF7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89% of pupils achieved a place in Post 16 provision in a range of settings.</w:t>
            </w:r>
          </w:p>
          <w:p w14:paraId="43B8677B" w14:textId="4477B38B" w:rsidR="00931FF7" w:rsidRDefault="00931FF7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 pupils had taken up their chosen places as of October 2019</w:t>
            </w:r>
          </w:p>
          <w:p w14:paraId="69A7B512" w14:textId="77777777" w:rsidR="00931FF7" w:rsidRDefault="00931FF7" w:rsidP="00CD68B1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426"/>
            </w:tblGrid>
            <w:tr w:rsidR="00487346" w14:paraId="74EE546B" w14:textId="20A028D6" w:rsidTr="00487346">
              <w:tc>
                <w:tcPr>
                  <w:tcW w:w="0" w:type="auto"/>
                </w:tcPr>
                <w:p w14:paraId="6B32D00A" w14:textId="6506B0E1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 16 College</w:t>
                  </w:r>
                </w:p>
              </w:tc>
              <w:tc>
                <w:tcPr>
                  <w:tcW w:w="426" w:type="dxa"/>
                </w:tcPr>
                <w:p w14:paraId="17641109" w14:textId="1B4C67C9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487346" w14:paraId="03A87FA6" w14:textId="56E060D8" w:rsidTr="00487346">
              <w:tc>
                <w:tcPr>
                  <w:tcW w:w="0" w:type="auto"/>
                </w:tcPr>
                <w:p w14:paraId="2FEE2811" w14:textId="7D9C1101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Training Provider</w:t>
                  </w:r>
                </w:p>
              </w:tc>
              <w:tc>
                <w:tcPr>
                  <w:tcW w:w="426" w:type="dxa"/>
                </w:tcPr>
                <w:p w14:paraId="5E83DC55" w14:textId="201F1B8B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487346" w14:paraId="1B8B8279" w14:textId="77777777" w:rsidTr="00487346">
              <w:trPr>
                <w:trHeight w:val="291"/>
              </w:trPr>
              <w:tc>
                <w:tcPr>
                  <w:tcW w:w="0" w:type="auto"/>
                </w:tcPr>
                <w:p w14:paraId="52191B58" w14:textId="67455510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Apprenticeship</w:t>
                  </w:r>
                </w:p>
                <w:p w14:paraId="283AF26F" w14:textId="77777777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7757CC41" w14:textId="77777777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7E43C6EE" w14:textId="3DD73C3A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487346" w14:paraId="4BED9F3C" w14:textId="77777777" w:rsidTr="00487346">
              <w:tc>
                <w:tcPr>
                  <w:tcW w:w="0" w:type="auto"/>
                </w:tcPr>
                <w:p w14:paraId="0383F48A" w14:textId="7602A3B3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Employment</w:t>
                  </w:r>
                </w:p>
              </w:tc>
              <w:tc>
                <w:tcPr>
                  <w:tcW w:w="426" w:type="dxa"/>
                </w:tcPr>
                <w:p w14:paraId="78491005" w14:textId="0D80EF7A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487346" w14:paraId="113809EC" w14:textId="77777777" w:rsidTr="00487346">
              <w:tc>
                <w:tcPr>
                  <w:tcW w:w="0" w:type="auto"/>
                </w:tcPr>
                <w:p w14:paraId="2F0A02A9" w14:textId="2DE14B92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NEET</w:t>
                  </w:r>
                </w:p>
              </w:tc>
              <w:tc>
                <w:tcPr>
                  <w:tcW w:w="426" w:type="dxa"/>
                </w:tcPr>
                <w:p w14:paraId="2E14DFBE" w14:textId="521F7AE0" w:rsidR="00487346" w:rsidRDefault="00487346" w:rsidP="00CD68B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11174535" w14:textId="77777777" w:rsidR="00F603CB" w:rsidRDefault="00F603CB" w:rsidP="00CD68B1">
            <w:pPr>
              <w:pStyle w:val="Default"/>
              <w:rPr>
                <w:sz w:val="18"/>
                <w:szCs w:val="18"/>
              </w:rPr>
            </w:pPr>
          </w:p>
          <w:p w14:paraId="03511F70" w14:textId="77777777" w:rsidR="008419A5" w:rsidRDefault="008419A5" w:rsidP="00CD68B1">
            <w:pPr>
              <w:pStyle w:val="Default"/>
              <w:rPr>
                <w:sz w:val="18"/>
                <w:szCs w:val="18"/>
              </w:rPr>
            </w:pPr>
          </w:p>
          <w:p w14:paraId="5A2FCDD9" w14:textId="77777777" w:rsidR="008419A5" w:rsidRDefault="008419A5" w:rsidP="00CD68B1">
            <w:pPr>
              <w:pStyle w:val="Default"/>
              <w:rPr>
                <w:sz w:val="18"/>
                <w:szCs w:val="18"/>
              </w:rPr>
            </w:pPr>
          </w:p>
          <w:p w14:paraId="76F8E695" w14:textId="77777777" w:rsidR="008419A5" w:rsidRDefault="008419A5" w:rsidP="00CD68B1">
            <w:pPr>
              <w:pStyle w:val="Default"/>
              <w:rPr>
                <w:sz w:val="18"/>
                <w:szCs w:val="18"/>
              </w:rPr>
            </w:pPr>
          </w:p>
          <w:p w14:paraId="37504CAE" w14:textId="29F0AC85" w:rsidR="00F603CB" w:rsidRPr="00A33F73" w:rsidRDefault="00F603CB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EBAC273" w14:textId="77777777" w:rsidR="002D22A0" w:rsidRDefault="003B4547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Bespoke packages of support will remain available for pupils whose needs cannot be addressed fully as part of whole school/class provision</w:t>
            </w:r>
          </w:p>
          <w:p w14:paraId="0272F3F9" w14:textId="77777777" w:rsidR="003B4547" w:rsidRDefault="003B4547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E942975" w14:textId="77777777" w:rsidR="003B4547" w:rsidRDefault="003B4547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The school has ceased its contract with Prospects and secured a new experienced Careers Advisor through and SLA with a local MAT.  Pupils will have weekly access to independent CEAIG in Year 11</w:t>
            </w:r>
          </w:p>
          <w:p w14:paraId="60045246" w14:textId="77777777" w:rsidR="003B4547" w:rsidRDefault="003B4547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E9A84EE" w14:textId="0F7C0A44" w:rsidR="003B4547" w:rsidRPr="006C7C85" w:rsidRDefault="003B4547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The school in conjunction with Wakefield College have commissioned a transition taster course for Year 11 pupils 2019/20 which will run weekly from September 2019 to April 2020 to provide better preparation for moving from specialist to mainstream provision Post 16</w:t>
            </w:r>
          </w:p>
        </w:tc>
        <w:tc>
          <w:tcPr>
            <w:tcW w:w="1417" w:type="dxa"/>
          </w:tcPr>
          <w:p w14:paraId="521595A8" w14:textId="77777777" w:rsidR="002D22A0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5CD8A1" w14:textId="30595551" w:rsidR="00E47D92" w:rsidRDefault="00931FF7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£25,674</w:t>
            </w:r>
          </w:p>
          <w:p w14:paraId="539B3064" w14:textId="77777777" w:rsidR="00E47D92" w:rsidRDefault="00E47D92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0565B6" w14:textId="77777777" w:rsidR="00E47D92" w:rsidRDefault="00E47D92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2C6C6" w14:textId="77777777" w:rsidR="00E47D92" w:rsidRDefault="00E47D92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26E09" w14:textId="77777777" w:rsidR="00E47D92" w:rsidRDefault="00E47D92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43780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1D002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35EADD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01027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88946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72BDB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A39D7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29B94E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6DB1F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0122C9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A0296C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61FB1D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EB4A12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8579C5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D3D42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3B36B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6CA51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C52F9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981A96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40B758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C6966A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54CA2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D99A73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6FF12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458D1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800665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821A92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2309F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503EF2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B9511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28E23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7389D6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7BCEA1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B2C1F1" w14:textId="77777777" w:rsidR="008419A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A7082" w14:textId="671BC8C9" w:rsidR="008419A5" w:rsidRPr="006C7C85" w:rsidRDefault="008419A5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487346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5F0D17C1" w14:textId="77777777" w:rsidR="00A60ECF" w:rsidRDefault="00A60ECF" w:rsidP="00E47D92">
            <w:pPr>
              <w:rPr>
                <w:rFonts w:ascii="Arial" w:hAnsi="Arial" w:cs="Arial"/>
                <w:b/>
              </w:rPr>
            </w:pPr>
          </w:p>
          <w:p w14:paraId="516A260C" w14:textId="77777777" w:rsidR="008419A5" w:rsidRDefault="008419A5" w:rsidP="00E47D92">
            <w:pPr>
              <w:rPr>
                <w:rFonts w:ascii="Arial" w:hAnsi="Arial" w:cs="Arial"/>
                <w:b/>
              </w:rPr>
            </w:pPr>
          </w:p>
          <w:p w14:paraId="704282BB" w14:textId="77777777" w:rsidR="008419A5" w:rsidRDefault="008419A5" w:rsidP="00E47D92">
            <w:pPr>
              <w:rPr>
                <w:rFonts w:ascii="Arial" w:hAnsi="Arial" w:cs="Arial"/>
                <w:b/>
              </w:rPr>
            </w:pPr>
          </w:p>
          <w:p w14:paraId="429E411C" w14:textId="77777777" w:rsidR="008419A5" w:rsidRDefault="008419A5" w:rsidP="00E47D92">
            <w:pPr>
              <w:rPr>
                <w:rFonts w:ascii="Arial" w:hAnsi="Arial" w:cs="Arial"/>
                <w:b/>
              </w:rPr>
            </w:pPr>
          </w:p>
          <w:p w14:paraId="4C34AEB4" w14:textId="77777777" w:rsidR="008419A5" w:rsidRDefault="008419A5" w:rsidP="00E47D92">
            <w:pPr>
              <w:rPr>
                <w:rFonts w:ascii="Arial" w:hAnsi="Arial" w:cs="Arial"/>
                <w:b/>
              </w:rPr>
            </w:pPr>
          </w:p>
          <w:p w14:paraId="1C1F1FEF" w14:textId="77777777" w:rsidR="008419A5" w:rsidRDefault="008419A5" w:rsidP="00E47D92">
            <w:pPr>
              <w:rPr>
                <w:rFonts w:ascii="Arial" w:hAnsi="Arial" w:cs="Arial"/>
                <w:b/>
              </w:rPr>
            </w:pPr>
          </w:p>
          <w:p w14:paraId="7118E6EB" w14:textId="77777777" w:rsidR="008419A5" w:rsidRDefault="008419A5" w:rsidP="00E47D92">
            <w:pPr>
              <w:rPr>
                <w:rFonts w:ascii="Arial" w:hAnsi="Arial" w:cs="Arial"/>
                <w:b/>
              </w:rPr>
            </w:pPr>
          </w:p>
          <w:p w14:paraId="14553B41" w14:textId="77777777" w:rsidR="00B56C61" w:rsidRDefault="00B56C61" w:rsidP="00E47D92">
            <w:pPr>
              <w:rPr>
                <w:rFonts w:ascii="Arial" w:hAnsi="Arial" w:cs="Arial"/>
                <w:b/>
              </w:rPr>
            </w:pPr>
          </w:p>
          <w:p w14:paraId="24CEF4EC" w14:textId="77777777" w:rsidR="00B56C61" w:rsidRDefault="00B56C61" w:rsidP="00E47D92">
            <w:pPr>
              <w:rPr>
                <w:rFonts w:ascii="Arial" w:hAnsi="Arial" w:cs="Arial"/>
                <w:b/>
              </w:rPr>
            </w:pPr>
          </w:p>
          <w:p w14:paraId="0695D5B5" w14:textId="7B8140AF" w:rsidR="00B56C61" w:rsidRPr="00E47D92" w:rsidRDefault="00B56C61" w:rsidP="00E47D92">
            <w:pPr>
              <w:rPr>
                <w:rFonts w:ascii="Arial" w:hAnsi="Arial" w:cs="Arial"/>
                <w:b/>
              </w:rPr>
            </w:pPr>
          </w:p>
        </w:tc>
      </w:tr>
      <w:tr w:rsidR="002954A6" w:rsidRPr="002954A6" w14:paraId="40DB90C8" w14:textId="77777777" w:rsidTr="00487346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55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2D7509C5" w14:textId="77777777" w:rsidR="007335B7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  <w:p w14:paraId="7E049784" w14:textId="77777777" w:rsidR="00CC6B1F" w:rsidRDefault="00CC6B1F" w:rsidP="008D2DAF">
            <w:pPr>
              <w:rPr>
                <w:rFonts w:ascii="Arial" w:hAnsi="Arial" w:cs="Arial"/>
                <w:b/>
              </w:rPr>
            </w:pPr>
          </w:p>
          <w:p w14:paraId="58CCB8D4" w14:textId="55623B25" w:rsidR="00CC6B1F" w:rsidRPr="00CC6B1F" w:rsidRDefault="00D51388" w:rsidP="008D2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£30,647</w:t>
            </w:r>
          </w:p>
        </w:tc>
      </w:tr>
      <w:tr w:rsidR="002954A6" w:rsidRPr="002954A6" w14:paraId="290AE235" w14:textId="77777777" w:rsidTr="00487346">
        <w:trPr>
          <w:trHeight w:hRule="exact" w:val="1098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945B83B" w14:textId="77777777" w:rsidR="007335B7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Reduce persistent absence for PP and CiC to 50% by July 2019</w:t>
            </w:r>
          </w:p>
          <w:p w14:paraId="42B98946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D4141A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402D5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D99F9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88AD9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8372CE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85016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50A38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E60952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0055BF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E65AC0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3453D7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811BA6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0E8026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5731A2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7E932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9F8BB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80868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575BE5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6D1910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74F7B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610543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13C48A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67BCDF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58F93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21EF11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DD31F9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D2EC48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F634B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51059E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516247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341C80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64B1D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C97F6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E9F18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7A36AE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09EAF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246195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0924F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999DF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0CA30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698CE5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4F17F6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7325B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337572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D6C95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B659F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66844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17D0F" w14:textId="411521A6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B8B831" w14:textId="637F164D" w:rsidR="00C93E03" w:rsidRDefault="00C93E03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77465" w14:textId="70891A29" w:rsidR="00C93E03" w:rsidRDefault="00C93E03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D7E12" w14:textId="77777777" w:rsidR="00C93E03" w:rsidRDefault="00C93E03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77AB8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2BCF9E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C8B404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EF291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BADAF0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6DE1AF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77CEC3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440707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CE5881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263936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6D991E" w14:textId="77777777" w:rsidR="00C91E2B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4E147C" w14:textId="24A89962" w:rsidR="00C91E2B" w:rsidRPr="006C7C85" w:rsidRDefault="00C91E2B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Mar>
              <w:top w:w="57" w:type="dxa"/>
              <w:bottom w:w="57" w:type="dxa"/>
            </w:tcMar>
          </w:tcPr>
          <w:p w14:paraId="0FAFD670" w14:textId="77777777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the hours of attendance officer post from 27.5 to 34 hours per week to increase availability for home visits and meeting with professionals</w:t>
            </w:r>
          </w:p>
          <w:p w14:paraId="67C23D88" w14:textId="77777777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BF891D" w14:textId="77777777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current attendance system and processes to ascertain how they impact on the attendance of pupils in hard to reach families</w:t>
            </w:r>
          </w:p>
          <w:p w14:paraId="4BFBD6EE" w14:textId="77777777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1478C" w14:textId="77777777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Raise the profile of attendance across the school with a whole school focus on promoting ‘Good Attendance’ in Spring &amp; Summer terms 2018/19</w:t>
            </w:r>
          </w:p>
          <w:p w14:paraId="6FD28C97" w14:textId="77777777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868AD" w14:textId="77777777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 data to identify a target cohort of pupils whose attendance could be moved from PA to non-PA by July 2018</w:t>
            </w:r>
          </w:p>
          <w:p w14:paraId="6F849D5F" w14:textId="77777777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962E56" w14:textId="1715A6DE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 current and historic data to identify a target cohort of hard to reach families</w:t>
            </w:r>
          </w:p>
          <w:p w14:paraId="157C7794" w14:textId="77777777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04368A" w14:textId="77777777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with families identify barriers preventing ‘good attendance’ and assess whether a multi-agency approach is required</w:t>
            </w:r>
          </w:p>
          <w:p w14:paraId="33AD3ACE" w14:textId="77777777" w:rsidR="00C91E2B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4ABFE" w14:textId="6FCC4113" w:rsidR="00FF15B4" w:rsidRPr="006C7C85" w:rsidRDefault="00C91E2B" w:rsidP="00C91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Create a personalised plan for each family addressing barriers and setting appropriate targets to improve attendance 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14:paraId="5B02CC28" w14:textId="460822F5" w:rsidR="00840333" w:rsidRDefault="00840333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Criteria was not met across the school.  Most impact was seen in Years 7&amp;8 however Year 9 also demonstrate a reduction in PA.  </w:t>
            </w:r>
          </w:p>
          <w:p w14:paraId="047926CF" w14:textId="77777777" w:rsidR="00840333" w:rsidRDefault="0084033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C8ADF8" w14:textId="1308FDF1" w:rsidR="00C93E03" w:rsidRDefault="00E6744A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 of the work to increase attendance and reduce persistent absence can most clearly be seen at KS3</w:t>
            </w:r>
            <w:r w:rsidR="00C93E03">
              <w:rPr>
                <w:rFonts w:ascii="Arial" w:hAnsi="Arial" w:cs="Arial"/>
                <w:sz w:val="18"/>
                <w:szCs w:val="18"/>
              </w:rPr>
              <w:t xml:space="preserve"> reflecting the </w:t>
            </w:r>
            <w:r>
              <w:rPr>
                <w:rFonts w:ascii="Arial" w:hAnsi="Arial" w:cs="Arial"/>
                <w:sz w:val="18"/>
                <w:szCs w:val="18"/>
              </w:rPr>
              <w:t xml:space="preserve">high priority and relentless focus </w:t>
            </w:r>
            <w:r w:rsidR="00C93E03">
              <w:rPr>
                <w:rFonts w:ascii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sz w:val="18"/>
                <w:szCs w:val="18"/>
              </w:rPr>
              <w:t>improving attendance</w:t>
            </w:r>
            <w:r w:rsidR="00C93E0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2824C257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B3CB5B" w14:textId="15B1B260" w:rsidR="00C91E2B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improvements clearly support the rationale for appointment of the </w:t>
            </w:r>
            <w:r w:rsidR="00846FD3">
              <w:rPr>
                <w:rFonts w:ascii="Arial" w:hAnsi="Arial" w:cs="Arial"/>
                <w:sz w:val="18"/>
                <w:szCs w:val="18"/>
              </w:rPr>
              <w:t>Attendance Officer in September 2017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subsequent increase in hours in September 2018.  The impact of improved attendance in KS3 is expected to be sustained as those pupils move through school.   </w:t>
            </w:r>
            <w:r w:rsidR="0048734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E6744A">
              <w:rPr>
                <w:rFonts w:ascii="Arial" w:hAnsi="Arial" w:cs="Arial"/>
                <w:sz w:val="18"/>
                <w:szCs w:val="18"/>
              </w:rPr>
              <w:t xml:space="preserve">changing culture in the school community towards understanding the importance of good attendance </w:t>
            </w:r>
            <w:r w:rsidR="00487346">
              <w:rPr>
                <w:rFonts w:ascii="Arial" w:hAnsi="Arial" w:cs="Arial"/>
                <w:sz w:val="18"/>
                <w:szCs w:val="18"/>
              </w:rPr>
              <w:t xml:space="preserve">should have </w:t>
            </w:r>
            <w:r w:rsidR="00E6744A">
              <w:rPr>
                <w:rFonts w:ascii="Arial" w:hAnsi="Arial" w:cs="Arial"/>
                <w:sz w:val="18"/>
                <w:szCs w:val="18"/>
              </w:rPr>
              <w:t>on long term outcomes, including at the end of KS4.</w:t>
            </w:r>
          </w:p>
          <w:p w14:paraId="7C513186" w14:textId="51E5EB19" w:rsidR="00E6744A" w:rsidRDefault="00E6744A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78FD03" w14:textId="2754CC5A" w:rsidR="00E6744A" w:rsidRDefault="00E6744A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7</w:t>
            </w:r>
          </w:p>
          <w:p w14:paraId="3850CAB9" w14:textId="4A0A0E48" w:rsidR="002D6306" w:rsidRDefault="00E6744A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of PP pupils improved their attendance from star</w:t>
            </w:r>
            <w:r w:rsidR="002D6306">
              <w:rPr>
                <w:rFonts w:ascii="Arial" w:hAnsi="Arial" w:cs="Arial"/>
                <w:sz w:val="18"/>
                <w:szCs w:val="18"/>
              </w:rPr>
              <w:t>ting point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5"/>
              <w:gridCol w:w="1285"/>
              <w:gridCol w:w="1286"/>
            </w:tblGrid>
            <w:tr w:rsidR="002D6306" w14:paraId="3CB31BEB" w14:textId="77777777" w:rsidTr="00487346">
              <w:tc>
                <w:tcPr>
                  <w:tcW w:w="1285" w:type="dxa"/>
                </w:tcPr>
                <w:p w14:paraId="328CDBC4" w14:textId="2AA07BA0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Year 7</w:t>
                  </w:r>
                </w:p>
              </w:tc>
              <w:tc>
                <w:tcPr>
                  <w:tcW w:w="1285" w:type="dxa"/>
                </w:tcPr>
                <w:p w14:paraId="60D7CB30" w14:textId="3470B985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Attendance July 18</w:t>
                  </w:r>
                </w:p>
              </w:tc>
              <w:tc>
                <w:tcPr>
                  <w:tcW w:w="1286" w:type="dxa"/>
                </w:tcPr>
                <w:p w14:paraId="519ADA3C" w14:textId="54558930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Attendance July 19</w:t>
                  </w:r>
                </w:p>
              </w:tc>
            </w:tr>
            <w:tr w:rsidR="002D6306" w14:paraId="568D07CE" w14:textId="77777777" w:rsidTr="00487346">
              <w:tc>
                <w:tcPr>
                  <w:tcW w:w="1285" w:type="dxa"/>
                </w:tcPr>
                <w:p w14:paraId="3E42E455" w14:textId="0342D7F2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PP</w:t>
                  </w:r>
                </w:p>
              </w:tc>
              <w:tc>
                <w:tcPr>
                  <w:tcW w:w="1285" w:type="dxa"/>
                </w:tcPr>
                <w:p w14:paraId="273E622E" w14:textId="55D48518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72.80%</w:t>
                  </w:r>
                </w:p>
              </w:tc>
              <w:tc>
                <w:tcPr>
                  <w:tcW w:w="1286" w:type="dxa"/>
                </w:tcPr>
                <w:p w14:paraId="1F493543" w14:textId="51D1C3DE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86.00%</w:t>
                  </w:r>
                </w:p>
              </w:tc>
            </w:tr>
            <w:tr w:rsidR="002D6306" w14:paraId="79FE4279" w14:textId="77777777" w:rsidTr="00487346">
              <w:tc>
                <w:tcPr>
                  <w:tcW w:w="1285" w:type="dxa"/>
                </w:tcPr>
                <w:p w14:paraId="7B715A13" w14:textId="5E91E87C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 PP</w:t>
                  </w:r>
                </w:p>
              </w:tc>
              <w:tc>
                <w:tcPr>
                  <w:tcW w:w="1285" w:type="dxa"/>
                </w:tcPr>
                <w:p w14:paraId="46998EDA" w14:textId="73324423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51.20%</w:t>
                  </w:r>
                </w:p>
              </w:tc>
              <w:tc>
                <w:tcPr>
                  <w:tcW w:w="1286" w:type="dxa"/>
                </w:tcPr>
                <w:p w14:paraId="0C0A1618" w14:textId="58773A82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75.83%</w:t>
                  </w:r>
                </w:p>
              </w:tc>
            </w:tr>
            <w:tr w:rsidR="002D6306" w14:paraId="5B98C267" w14:textId="77777777" w:rsidTr="00487346">
              <w:tc>
                <w:tcPr>
                  <w:tcW w:w="1285" w:type="dxa"/>
                </w:tcPr>
                <w:p w14:paraId="2A491F28" w14:textId="4B096AC3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CiC</w:t>
                  </w:r>
                </w:p>
              </w:tc>
              <w:tc>
                <w:tcPr>
                  <w:tcW w:w="1285" w:type="dxa"/>
                </w:tcPr>
                <w:p w14:paraId="523D1D78" w14:textId="1F97E524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286" w:type="dxa"/>
                </w:tcPr>
                <w:p w14:paraId="0DA05991" w14:textId="695A29CF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97.89%</w:t>
                  </w:r>
                </w:p>
              </w:tc>
            </w:tr>
            <w:tr w:rsidR="002D6306" w14:paraId="7052D0CF" w14:textId="77777777" w:rsidTr="00487346">
              <w:tc>
                <w:tcPr>
                  <w:tcW w:w="1285" w:type="dxa"/>
                </w:tcPr>
                <w:p w14:paraId="461B517F" w14:textId="3D8286C6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PA%</w:t>
                  </w:r>
                </w:p>
              </w:tc>
              <w:tc>
                <w:tcPr>
                  <w:tcW w:w="1285" w:type="dxa"/>
                </w:tcPr>
                <w:p w14:paraId="21126109" w14:textId="5E308C4C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1286" w:type="dxa"/>
                </w:tcPr>
                <w:p w14:paraId="59215F53" w14:textId="29CD0FC3" w:rsidR="002D6306" w:rsidRDefault="002D6306" w:rsidP="007B18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50%</w:t>
                  </w:r>
                </w:p>
              </w:tc>
            </w:tr>
          </w:tbl>
          <w:p w14:paraId="0E182299" w14:textId="77777777" w:rsidR="002D6306" w:rsidRDefault="002D6306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1DFFC" w14:textId="1C6036C6" w:rsidR="00E6744A" w:rsidRDefault="002D6306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8</w:t>
            </w:r>
          </w:p>
          <w:p w14:paraId="6A1B8D86" w14:textId="3E50450D" w:rsidR="002D6306" w:rsidRDefault="002D6306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 PP pupils improved their attendance from their starting po</w:t>
            </w:r>
            <w:r w:rsidR="00C93E03">
              <w:rPr>
                <w:rFonts w:ascii="Arial" w:hAnsi="Arial" w:cs="Arial"/>
                <w:sz w:val="18"/>
                <w:szCs w:val="18"/>
              </w:rPr>
              <w:t>int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5"/>
              <w:gridCol w:w="1285"/>
              <w:gridCol w:w="1286"/>
            </w:tblGrid>
            <w:tr w:rsidR="002D6306" w14:paraId="2BB900EE" w14:textId="77777777" w:rsidTr="00487346">
              <w:tc>
                <w:tcPr>
                  <w:tcW w:w="1285" w:type="dxa"/>
                </w:tcPr>
                <w:p w14:paraId="55C4CAA1" w14:textId="11220845" w:rsidR="002D6306" w:rsidRDefault="002D6306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Year 8</w:t>
                  </w:r>
                </w:p>
              </w:tc>
              <w:tc>
                <w:tcPr>
                  <w:tcW w:w="1285" w:type="dxa"/>
                </w:tcPr>
                <w:p w14:paraId="799E7666" w14:textId="20803358" w:rsidR="002D6306" w:rsidRDefault="00C93E03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Average </w:t>
                  </w:r>
                  <w:r w:rsidR="002D6306">
                    <w:rPr>
                      <w:rFonts w:ascii="Arial" w:hAnsi="Arial" w:cs="Arial"/>
                      <w:sz w:val="18"/>
                      <w:szCs w:val="18"/>
                    </w:rPr>
                    <w:t>Attendance July 17</w:t>
                  </w:r>
                  <w:r w:rsidR="00846FD3">
                    <w:rPr>
                      <w:rFonts w:ascii="Arial" w:hAnsi="Arial" w:cs="Arial"/>
                      <w:sz w:val="18"/>
                      <w:szCs w:val="18"/>
                    </w:rPr>
                    <w:t xml:space="preserve"> or starting date</w:t>
                  </w:r>
                </w:p>
              </w:tc>
              <w:tc>
                <w:tcPr>
                  <w:tcW w:w="1286" w:type="dxa"/>
                </w:tcPr>
                <w:p w14:paraId="4F31272E" w14:textId="5D73C7D4" w:rsidR="002D6306" w:rsidRDefault="00C93E03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Average </w:t>
                  </w:r>
                  <w:r w:rsidR="002D6306">
                    <w:rPr>
                      <w:rFonts w:ascii="Arial" w:hAnsi="Arial" w:cs="Arial"/>
                      <w:sz w:val="18"/>
                      <w:szCs w:val="18"/>
                    </w:rPr>
                    <w:t>Attendance July 19</w:t>
                  </w:r>
                </w:p>
              </w:tc>
            </w:tr>
            <w:tr w:rsidR="002D6306" w14:paraId="7C6C10CE" w14:textId="77777777" w:rsidTr="00487346">
              <w:tc>
                <w:tcPr>
                  <w:tcW w:w="1285" w:type="dxa"/>
                </w:tcPr>
                <w:p w14:paraId="73656F8B" w14:textId="77777777" w:rsidR="002D6306" w:rsidRDefault="002D6306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PP</w:t>
                  </w:r>
                </w:p>
              </w:tc>
              <w:tc>
                <w:tcPr>
                  <w:tcW w:w="1285" w:type="dxa"/>
                </w:tcPr>
                <w:p w14:paraId="15751378" w14:textId="2CD72C8F" w:rsidR="002D6306" w:rsidRDefault="002D6306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65.39%</w:t>
                  </w:r>
                </w:p>
              </w:tc>
              <w:tc>
                <w:tcPr>
                  <w:tcW w:w="1286" w:type="dxa"/>
                </w:tcPr>
                <w:p w14:paraId="4778B2B1" w14:textId="38A96010" w:rsidR="002D6306" w:rsidRDefault="002D6306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80.30%</w:t>
                  </w:r>
                </w:p>
              </w:tc>
            </w:tr>
            <w:tr w:rsidR="002D6306" w14:paraId="1F4E5BD2" w14:textId="77777777" w:rsidTr="00487346">
              <w:tc>
                <w:tcPr>
                  <w:tcW w:w="1285" w:type="dxa"/>
                </w:tcPr>
                <w:p w14:paraId="58CDAD3D" w14:textId="77777777" w:rsidR="002D6306" w:rsidRDefault="002D6306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 PP</w:t>
                  </w:r>
                </w:p>
              </w:tc>
              <w:tc>
                <w:tcPr>
                  <w:tcW w:w="1285" w:type="dxa"/>
                </w:tcPr>
                <w:p w14:paraId="657BE77B" w14:textId="390F529B" w:rsidR="002D6306" w:rsidRPr="00846FD3" w:rsidRDefault="00487346" w:rsidP="002D630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487346">
                    <w:rPr>
                      <w:rFonts w:ascii="Arial" w:hAnsi="Arial" w:cs="Arial"/>
                      <w:sz w:val="18"/>
                      <w:szCs w:val="18"/>
                    </w:rPr>
                    <w:t>60.83%</w:t>
                  </w:r>
                </w:p>
              </w:tc>
              <w:tc>
                <w:tcPr>
                  <w:tcW w:w="1286" w:type="dxa"/>
                </w:tcPr>
                <w:p w14:paraId="5D6C5038" w14:textId="478BB796" w:rsidR="002D6306" w:rsidRPr="00846FD3" w:rsidRDefault="00487346" w:rsidP="002D630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487346">
                    <w:rPr>
                      <w:rFonts w:ascii="Arial" w:hAnsi="Arial" w:cs="Arial"/>
                      <w:sz w:val="18"/>
                      <w:szCs w:val="18"/>
                    </w:rPr>
                    <w:t>79.34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2D6306" w14:paraId="2C70293A" w14:textId="77777777" w:rsidTr="00487346">
              <w:tc>
                <w:tcPr>
                  <w:tcW w:w="1285" w:type="dxa"/>
                </w:tcPr>
                <w:p w14:paraId="1C255B36" w14:textId="77777777" w:rsidR="002D6306" w:rsidRDefault="002D6306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CiC</w:t>
                  </w:r>
                </w:p>
              </w:tc>
              <w:tc>
                <w:tcPr>
                  <w:tcW w:w="1285" w:type="dxa"/>
                </w:tcPr>
                <w:p w14:paraId="6028EAE0" w14:textId="57CCFE5A" w:rsidR="002D6306" w:rsidRDefault="00846FD3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71.79</w:t>
                  </w:r>
                </w:p>
              </w:tc>
              <w:tc>
                <w:tcPr>
                  <w:tcW w:w="1286" w:type="dxa"/>
                </w:tcPr>
                <w:p w14:paraId="1CC77F6D" w14:textId="181A1883" w:rsidR="002D6306" w:rsidRDefault="00846FD3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50.79</w:t>
                  </w:r>
                </w:p>
              </w:tc>
            </w:tr>
            <w:tr w:rsidR="00846FD3" w14:paraId="760A0246" w14:textId="77777777" w:rsidTr="00487346">
              <w:tc>
                <w:tcPr>
                  <w:tcW w:w="1285" w:type="dxa"/>
                </w:tcPr>
                <w:p w14:paraId="2980835E" w14:textId="580196CA" w:rsidR="00846FD3" w:rsidRDefault="00846FD3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PA%</w:t>
                  </w:r>
                </w:p>
              </w:tc>
              <w:tc>
                <w:tcPr>
                  <w:tcW w:w="1285" w:type="dxa"/>
                </w:tcPr>
                <w:p w14:paraId="423C7814" w14:textId="40F3113B" w:rsidR="00846FD3" w:rsidRDefault="00846FD3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90%</w:t>
                  </w:r>
                </w:p>
              </w:tc>
              <w:tc>
                <w:tcPr>
                  <w:tcW w:w="1286" w:type="dxa"/>
                </w:tcPr>
                <w:p w14:paraId="24D76352" w14:textId="790A4911" w:rsidR="00846FD3" w:rsidRDefault="00846FD3" w:rsidP="002D6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36.36%</w:t>
                  </w:r>
                </w:p>
              </w:tc>
            </w:tr>
          </w:tbl>
          <w:p w14:paraId="4FC7B0EE" w14:textId="77777777" w:rsidR="00E6744A" w:rsidRDefault="00E6744A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0001D7" w14:textId="6142AD55" w:rsidR="00846FD3" w:rsidRDefault="00846FD3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9</w:t>
            </w:r>
          </w:p>
          <w:p w14:paraId="38719681" w14:textId="751F3E57" w:rsidR="00846FD3" w:rsidRDefault="00846FD3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69.23% of pupils improved</w:t>
            </w:r>
            <w:r w:rsidR="00C93E03">
              <w:rPr>
                <w:rFonts w:ascii="Arial" w:hAnsi="Arial" w:cs="Arial"/>
                <w:sz w:val="18"/>
                <w:szCs w:val="18"/>
              </w:rPr>
              <w:t xml:space="preserve"> attendance from starting point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5"/>
              <w:gridCol w:w="1285"/>
              <w:gridCol w:w="1286"/>
            </w:tblGrid>
            <w:tr w:rsidR="00846FD3" w14:paraId="4CFABCF8" w14:textId="77777777" w:rsidTr="00487346">
              <w:tc>
                <w:tcPr>
                  <w:tcW w:w="1285" w:type="dxa"/>
                </w:tcPr>
                <w:p w14:paraId="69CD1D73" w14:textId="648FA8EF" w:rsidR="00846FD3" w:rsidRDefault="00846FD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Year 9</w:t>
                  </w:r>
                </w:p>
              </w:tc>
              <w:tc>
                <w:tcPr>
                  <w:tcW w:w="1285" w:type="dxa"/>
                </w:tcPr>
                <w:p w14:paraId="7CEFBF95" w14:textId="40E3C6AE" w:rsidR="00846FD3" w:rsidRDefault="00846FD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Average Attendance July 16 or starting date</w:t>
                  </w:r>
                </w:p>
              </w:tc>
              <w:tc>
                <w:tcPr>
                  <w:tcW w:w="1286" w:type="dxa"/>
                </w:tcPr>
                <w:p w14:paraId="1495AC2B" w14:textId="6F803F28" w:rsidR="00846FD3" w:rsidRDefault="00846FD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Average Attendance July 19</w:t>
                  </w:r>
                </w:p>
              </w:tc>
            </w:tr>
            <w:tr w:rsidR="00846FD3" w14:paraId="791BD85F" w14:textId="77777777" w:rsidTr="00487346">
              <w:tc>
                <w:tcPr>
                  <w:tcW w:w="1285" w:type="dxa"/>
                </w:tcPr>
                <w:p w14:paraId="4A305DA5" w14:textId="77777777" w:rsidR="00846FD3" w:rsidRDefault="00846FD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PP</w:t>
                  </w:r>
                </w:p>
              </w:tc>
              <w:tc>
                <w:tcPr>
                  <w:tcW w:w="1285" w:type="dxa"/>
                </w:tcPr>
                <w:p w14:paraId="3C855DD4" w14:textId="346CA9D8" w:rsidR="00846FD3" w:rsidRDefault="00846FD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48.55%</w:t>
                  </w:r>
                </w:p>
              </w:tc>
              <w:tc>
                <w:tcPr>
                  <w:tcW w:w="1286" w:type="dxa"/>
                </w:tcPr>
                <w:p w14:paraId="636D7484" w14:textId="63EAAE80" w:rsidR="00846FD3" w:rsidRDefault="00846FD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54.76%</w:t>
                  </w:r>
                </w:p>
              </w:tc>
            </w:tr>
            <w:tr w:rsidR="00846FD3" w14:paraId="1BD2EDB9" w14:textId="77777777" w:rsidTr="00487346">
              <w:tc>
                <w:tcPr>
                  <w:tcW w:w="1285" w:type="dxa"/>
                </w:tcPr>
                <w:p w14:paraId="3C48AE58" w14:textId="77777777" w:rsidR="00846FD3" w:rsidRDefault="00846FD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 PP</w:t>
                  </w:r>
                </w:p>
              </w:tc>
              <w:tc>
                <w:tcPr>
                  <w:tcW w:w="1285" w:type="dxa"/>
                </w:tcPr>
                <w:p w14:paraId="4B554D4B" w14:textId="199BB700" w:rsidR="00846FD3" w:rsidRPr="00846FD3" w:rsidRDefault="00487346" w:rsidP="00846FD3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487346">
                    <w:rPr>
                      <w:rFonts w:ascii="Arial" w:hAnsi="Arial" w:cs="Arial"/>
                      <w:sz w:val="18"/>
                      <w:szCs w:val="18"/>
                    </w:rPr>
                    <w:t>48.55</w:t>
                  </w:r>
                </w:p>
              </w:tc>
              <w:tc>
                <w:tcPr>
                  <w:tcW w:w="1286" w:type="dxa"/>
                </w:tcPr>
                <w:p w14:paraId="22832298" w14:textId="08381448" w:rsidR="00846FD3" w:rsidRPr="00846FD3" w:rsidRDefault="00487346" w:rsidP="00846FD3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54.76%</w:t>
                  </w:r>
                </w:p>
              </w:tc>
            </w:tr>
            <w:tr w:rsidR="00C93E03" w14:paraId="5EF796F1" w14:textId="77777777" w:rsidTr="00487346">
              <w:tc>
                <w:tcPr>
                  <w:tcW w:w="1285" w:type="dxa"/>
                </w:tcPr>
                <w:p w14:paraId="2E1627CC" w14:textId="337B7EAF" w:rsidR="00C93E03" w:rsidRDefault="00C93E0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CiC</w:t>
                  </w:r>
                </w:p>
              </w:tc>
              <w:tc>
                <w:tcPr>
                  <w:tcW w:w="1285" w:type="dxa"/>
                </w:tcPr>
                <w:p w14:paraId="23018FE8" w14:textId="4CB78A94" w:rsidR="00C93E03" w:rsidRPr="00846FD3" w:rsidRDefault="00C93E03" w:rsidP="00846FD3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67.00%</w:t>
                  </w:r>
                </w:p>
              </w:tc>
              <w:tc>
                <w:tcPr>
                  <w:tcW w:w="1286" w:type="dxa"/>
                </w:tcPr>
                <w:p w14:paraId="0DFA861C" w14:textId="38BD1A1D" w:rsidR="00C93E03" w:rsidRPr="00846FD3" w:rsidRDefault="00C93E03" w:rsidP="00846FD3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25.23%</w:t>
                  </w:r>
                </w:p>
              </w:tc>
            </w:tr>
            <w:tr w:rsidR="00C93E03" w14:paraId="70208F43" w14:textId="77777777" w:rsidTr="00487346">
              <w:tc>
                <w:tcPr>
                  <w:tcW w:w="1285" w:type="dxa"/>
                </w:tcPr>
                <w:p w14:paraId="05F69725" w14:textId="5D987AA3" w:rsidR="00C93E03" w:rsidRDefault="00C93E0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PA%</w:t>
                  </w:r>
                </w:p>
              </w:tc>
              <w:tc>
                <w:tcPr>
                  <w:tcW w:w="1285" w:type="dxa"/>
                </w:tcPr>
                <w:p w14:paraId="60111E1D" w14:textId="5C581751" w:rsidR="00C93E03" w:rsidRDefault="00C93E0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286" w:type="dxa"/>
                </w:tcPr>
                <w:p w14:paraId="0BBD16CE" w14:textId="0C7D4808" w:rsidR="00C93E03" w:rsidRDefault="00C93E0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67.30%</w:t>
                  </w:r>
                </w:p>
              </w:tc>
            </w:tr>
            <w:tr w:rsidR="00C93E03" w14:paraId="1A2E88D9" w14:textId="77777777" w:rsidTr="00487346">
              <w:tc>
                <w:tcPr>
                  <w:tcW w:w="1285" w:type="dxa"/>
                </w:tcPr>
                <w:p w14:paraId="2C24E08C" w14:textId="656423BF" w:rsidR="00C93E03" w:rsidRDefault="00C93E0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5" w:type="dxa"/>
                </w:tcPr>
                <w:p w14:paraId="1DC72138" w14:textId="0D8E0EC0" w:rsidR="00C93E03" w:rsidRDefault="00C93E0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</w:tcPr>
                <w:p w14:paraId="7B522A52" w14:textId="1F9F40E4" w:rsidR="00C93E03" w:rsidRDefault="00C93E03" w:rsidP="00846FD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16C10CB" w14:textId="77777777" w:rsidR="00846FD3" w:rsidRDefault="00846FD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C9F95A" w14:textId="77777777" w:rsidR="00846FD3" w:rsidRDefault="00846FD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E38B0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818FE6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A7433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C895ED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C974A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B4C4D4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FD5C8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90830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BEB90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8A9C9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65FE3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A9461B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34DF4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0262CE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55884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1BE6F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3732D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8670CC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A207B9" w14:textId="77777777" w:rsidR="00C91E2B" w:rsidRPr="007534D7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7ED084" w14:textId="77777777" w:rsidR="007B1867" w:rsidRDefault="007B1867" w:rsidP="007B1867">
            <w:pPr>
              <w:pStyle w:val="Default"/>
              <w:rPr>
                <w:sz w:val="18"/>
                <w:szCs w:val="18"/>
              </w:rPr>
            </w:pPr>
          </w:p>
          <w:p w14:paraId="5C123324" w14:textId="77777777" w:rsidR="00C91E2B" w:rsidRDefault="00C91E2B" w:rsidP="007B1867">
            <w:pPr>
              <w:pStyle w:val="Default"/>
              <w:rPr>
                <w:sz w:val="18"/>
                <w:szCs w:val="18"/>
              </w:rPr>
            </w:pPr>
          </w:p>
          <w:p w14:paraId="4140C817" w14:textId="77777777" w:rsidR="00C91E2B" w:rsidRDefault="00C91E2B" w:rsidP="007B1867">
            <w:pPr>
              <w:pStyle w:val="Default"/>
              <w:rPr>
                <w:sz w:val="18"/>
                <w:szCs w:val="18"/>
              </w:rPr>
            </w:pPr>
          </w:p>
          <w:p w14:paraId="6D48F64A" w14:textId="77777777" w:rsidR="00C91E2B" w:rsidRDefault="00C91E2B" w:rsidP="007B1867">
            <w:pPr>
              <w:pStyle w:val="Default"/>
              <w:rPr>
                <w:sz w:val="18"/>
                <w:szCs w:val="18"/>
              </w:rPr>
            </w:pPr>
          </w:p>
          <w:p w14:paraId="231D7038" w14:textId="77777777" w:rsidR="00C91E2B" w:rsidRDefault="00C91E2B" w:rsidP="007B1867">
            <w:pPr>
              <w:pStyle w:val="Default"/>
              <w:rPr>
                <w:sz w:val="18"/>
                <w:szCs w:val="18"/>
              </w:rPr>
            </w:pPr>
          </w:p>
          <w:p w14:paraId="3B66C738" w14:textId="77777777" w:rsidR="00C91E2B" w:rsidRDefault="00C91E2B" w:rsidP="007B1867">
            <w:pPr>
              <w:pStyle w:val="Default"/>
              <w:rPr>
                <w:sz w:val="18"/>
                <w:szCs w:val="18"/>
              </w:rPr>
            </w:pPr>
          </w:p>
          <w:p w14:paraId="70F595FE" w14:textId="77777777" w:rsidR="00C91E2B" w:rsidRDefault="00C91E2B" w:rsidP="007B1867">
            <w:pPr>
              <w:pStyle w:val="Default"/>
              <w:rPr>
                <w:sz w:val="18"/>
                <w:szCs w:val="18"/>
              </w:rPr>
            </w:pPr>
          </w:p>
          <w:p w14:paraId="18882BA2" w14:textId="77777777" w:rsidR="00C91E2B" w:rsidRDefault="00C91E2B" w:rsidP="007B1867">
            <w:pPr>
              <w:pStyle w:val="Default"/>
              <w:rPr>
                <w:sz w:val="18"/>
                <w:szCs w:val="18"/>
              </w:rPr>
            </w:pPr>
          </w:p>
          <w:p w14:paraId="3AFEB128" w14:textId="77777777" w:rsidR="00C91E2B" w:rsidRDefault="00C91E2B" w:rsidP="007B1867">
            <w:pPr>
              <w:pStyle w:val="Default"/>
              <w:rPr>
                <w:sz w:val="18"/>
                <w:szCs w:val="18"/>
              </w:rPr>
            </w:pPr>
          </w:p>
          <w:p w14:paraId="57DF1410" w14:textId="77777777" w:rsidR="00C91E2B" w:rsidRDefault="00C91E2B" w:rsidP="007B1867">
            <w:pPr>
              <w:pStyle w:val="Default"/>
              <w:rPr>
                <w:sz w:val="18"/>
                <w:szCs w:val="18"/>
              </w:rPr>
            </w:pPr>
          </w:p>
          <w:p w14:paraId="51E23F61" w14:textId="2CCC72CA" w:rsidR="00C91E2B" w:rsidRPr="007B1867" w:rsidRDefault="00C91E2B" w:rsidP="007B18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131E081" w14:textId="280DE1BD" w:rsidR="00840333" w:rsidRDefault="00840333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 target of reducing PA across the school for PP &amp; CiC to 50% was not focused enough and did not take into account entrenched behaviours in relation to attendance at KS4.</w:t>
            </w:r>
            <w:r w:rsidR="00B72EC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74480AB" w14:textId="77777777" w:rsidR="00B72EC0" w:rsidRDefault="00B72EC0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41BA57" w14:textId="429672D2" w:rsidR="00B72EC0" w:rsidRDefault="00B72EC0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Future targets to be set for year groups rather than whole school which will allow more focused intervention to take place. </w:t>
            </w:r>
          </w:p>
          <w:p w14:paraId="63DDD81E" w14:textId="77777777" w:rsidR="00840333" w:rsidRDefault="0084033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9A1EF" w14:textId="77777777" w:rsidR="003B4547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Attendance Officer post and increase in hours will continue to be fund</w:t>
            </w:r>
            <w:r w:rsidR="003B4547">
              <w:rPr>
                <w:rFonts w:ascii="Arial" w:hAnsi="Arial" w:cs="Arial"/>
                <w:sz w:val="18"/>
                <w:szCs w:val="18"/>
              </w:rPr>
              <w:t>ed through pupil premium given the impact at KS3 and change in culture in the school.</w:t>
            </w:r>
          </w:p>
          <w:p w14:paraId="5DF78430" w14:textId="77777777" w:rsidR="003B4547" w:rsidRDefault="003B4547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4AF108" w14:textId="38B3E438" w:rsidR="00C91E2B" w:rsidRDefault="00E43E19" w:rsidP="007B1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EEF Guide to Pupil Premium: l</w:t>
            </w:r>
            <w:r w:rsidR="003B4547">
              <w:rPr>
                <w:rFonts w:ascii="Arial" w:hAnsi="Arial" w:cs="Arial"/>
                <w:sz w:val="18"/>
                <w:szCs w:val="18"/>
              </w:rPr>
              <w:t xml:space="preserve">ow attendance is </w:t>
            </w:r>
            <w:r w:rsidR="002E05EA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barrier to success in school</w:t>
            </w:r>
            <w:r w:rsidR="00B72EC0">
              <w:rPr>
                <w:rFonts w:ascii="Arial" w:hAnsi="Arial" w:cs="Arial"/>
                <w:sz w:val="18"/>
                <w:szCs w:val="18"/>
              </w:rPr>
              <w:t xml:space="preserve">.  </w:t>
            </w:r>
            <w:bookmarkStart w:id="0" w:name="_GoBack"/>
            <w:bookmarkEnd w:id="0"/>
            <w:r w:rsidR="00B72EC0">
              <w:rPr>
                <w:rFonts w:ascii="Arial" w:hAnsi="Arial" w:cs="Arial"/>
                <w:sz w:val="18"/>
                <w:szCs w:val="18"/>
              </w:rPr>
              <w:t>Increasing attendance across the school will continue to be a focus for 2019/20 and beyond.</w:t>
            </w:r>
          </w:p>
          <w:p w14:paraId="520D92C7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C4B215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0CF02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42517A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3C6F51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74089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C36D89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DE939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F9395A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9FF19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5C2DE9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5A1697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217B9E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0314B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FDC5F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75DEFB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84569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B9B4C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D17764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DE2DCB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8F7EE3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03C8DE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DD6F8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6CDEA1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5AE1D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157063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858EDB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6625D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87ED3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633DB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00BD0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B1E754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873A01" w14:textId="77777777" w:rsidR="00C91E2B" w:rsidRDefault="00C91E2B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1CCE74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01A40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DA0DDB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50835D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75F12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05062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0E4846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CC17E6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4A2CE3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52A26C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B0AB3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6E27F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7C055A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DDD6C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83D84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9FB9D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07D5D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5CD55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833E7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DC0BEA" w14:textId="77777777" w:rsidR="00C93E03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64912" w14:textId="4CABC61C" w:rsidR="00C93E03" w:rsidRPr="006C7C85" w:rsidRDefault="00C93E03" w:rsidP="007B18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0E2FFC" w14:textId="77777777" w:rsidR="007335B7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5399D6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15E90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D5A085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BB881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61EA74" w14:textId="1D940A6D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0C440" w14:textId="42559E1F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FE10D" w14:textId="3589AF1A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F4A30" w14:textId="2B9E1A29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E6125" w14:textId="1EC1C8DF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43D361" w14:textId="4410E4D7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27D336" w14:textId="2DDEA6EB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65937" w14:textId="5B8976A2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991505" w14:textId="62C8376F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037644" w14:textId="3DDCD97B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02829" w14:textId="21619CFD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D0658F" w14:textId="2DD4FC03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D4C97E" w14:textId="2442CEC7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36044" w14:textId="4690DE7B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3DCFD" w14:textId="1531BA9E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0F7AC" w14:textId="7EBA44C4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ED17C0" w14:textId="04B50708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B6F0F" w14:textId="10407249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6D1A36" w14:textId="5B934C3A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E03944" w14:textId="0101CAA3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77607" w14:textId="4B07C7D4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89FACB" w14:textId="3C66EB01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52541D" w14:textId="1871B2B5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178E2" w14:textId="50E7599B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5718A" w14:textId="0CC199FF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3D7D76" w14:textId="2403100E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BAA0D" w14:textId="1D077AB5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B3E41" w14:textId="3B902EE9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647EAE" w14:textId="1B5CB17B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116E1C" w14:textId="0DBA0B61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34E99" w14:textId="57FB0C90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DC701" w14:textId="72685145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2B117" w14:textId="2D507DEC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B93EA" w14:textId="65662EEE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33FC6" w14:textId="0F524435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0F5E59" w14:textId="02A365E9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894C7F" w14:textId="1B488E77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8E2C0B" w14:textId="6E3C8067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6EA87" w14:textId="6430014D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AED306" w14:textId="6DE23DCE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6A039F" w14:textId="4D19A0EF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FD72D" w14:textId="0B2EB7D6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4F422B" w14:textId="6DAA32A7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661200" w14:textId="27CD620B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703E2" w14:textId="129CBE4F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DA1EF" w14:textId="317A215F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F014B" w14:textId="18C1748A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A080E3" w14:textId="387D6B7E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1913F" w14:textId="717DFADF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0E26D0" w14:textId="7EF3BF51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FF8ABF" w14:textId="517AB932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F9E02" w14:textId="13FDB3AE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2E4EB" w14:textId="4974C285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57362B" w14:textId="6FC5DEE5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4D7C7" w14:textId="75D6A603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ABAE2F" w14:textId="43462CE5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3535A3" w14:textId="7257B65B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BC2E9" w14:textId="3A71363E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3ABAF2" w14:textId="7C22A842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DDDB7" w14:textId="3B4FAB7E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72DDD5" w14:textId="23B52526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EE484" w14:textId="0E718142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788AA2" w14:textId="326B3188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580F96" w14:textId="2E5ADDE3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FF129F" w14:textId="4A7A50B4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6D571" w14:textId="56E737E6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586950" w14:textId="7DCD1E71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5C2F9" w14:textId="7AE58FEA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EEC75" w14:textId="77777777" w:rsidR="00C93E03" w:rsidRDefault="00C93E03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C49D1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8C36C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DE0AD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B10989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C7D1EB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CCF5AA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F97E09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64DBBD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EAB89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17AAB8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FD29BC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709C9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7F1A7D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282FA4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8654C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2C95C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3A377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62EC4A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0FA77B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98CFEE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6DCAC7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93505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43DD0E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842C90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E7F49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5C771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13588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FF896E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4837DF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944A0B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E94E47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6CE22C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D666F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F8FDC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FEB51B" w14:textId="77777777" w:rsidR="00C91E2B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E39C3" w14:textId="32E9FA0C" w:rsidR="00C91E2B" w:rsidRPr="006C7C85" w:rsidRDefault="00C91E2B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5A08FF94" w:rsidR="00AE66C2" w:rsidRDefault="00AE66C2" w:rsidP="00B56C61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65A1" w14:textId="77777777" w:rsidR="000011EF" w:rsidRDefault="000011EF" w:rsidP="00CD68B1">
      <w:r>
        <w:separator/>
      </w:r>
    </w:p>
  </w:endnote>
  <w:endnote w:type="continuationSeparator" w:id="0">
    <w:p w14:paraId="74096540" w14:textId="77777777" w:rsidR="000011EF" w:rsidRDefault="000011E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433ED" w14:textId="77777777" w:rsidR="000011EF" w:rsidRDefault="000011EF" w:rsidP="00CD68B1">
      <w:r>
        <w:separator/>
      </w:r>
    </w:p>
  </w:footnote>
  <w:footnote w:type="continuationSeparator" w:id="0">
    <w:p w14:paraId="296B64D3" w14:textId="77777777" w:rsidR="000011EF" w:rsidRDefault="000011E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318F"/>
    <w:multiLevelType w:val="hybridMultilevel"/>
    <w:tmpl w:val="E30AA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10"/>
  </w:num>
  <w:num w:numId="9">
    <w:abstractNumId w:val="27"/>
  </w:num>
  <w:num w:numId="10">
    <w:abstractNumId w:val="21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25"/>
  </w:num>
  <w:num w:numId="16">
    <w:abstractNumId w:val="24"/>
  </w:num>
  <w:num w:numId="17">
    <w:abstractNumId w:val="13"/>
  </w:num>
  <w:num w:numId="18">
    <w:abstractNumId w:val="1"/>
  </w:num>
  <w:num w:numId="19">
    <w:abstractNumId w:val="19"/>
  </w:num>
  <w:num w:numId="20">
    <w:abstractNumId w:val="4"/>
  </w:num>
  <w:num w:numId="21">
    <w:abstractNumId w:val="23"/>
  </w:num>
  <w:num w:numId="22">
    <w:abstractNumId w:val="26"/>
  </w:num>
  <w:num w:numId="23">
    <w:abstractNumId w:val="6"/>
  </w:num>
  <w:num w:numId="24">
    <w:abstractNumId w:val="12"/>
  </w:num>
  <w:num w:numId="25">
    <w:abstractNumId w:val="18"/>
  </w:num>
  <w:num w:numId="26">
    <w:abstractNumId w:val="22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4DA0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1427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D6306"/>
    <w:rsid w:val="002E05EA"/>
    <w:rsid w:val="002E686F"/>
    <w:rsid w:val="002F6FB5"/>
    <w:rsid w:val="00320C3A"/>
    <w:rsid w:val="00337056"/>
    <w:rsid w:val="003479D1"/>
    <w:rsid w:val="00351952"/>
    <w:rsid w:val="00366499"/>
    <w:rsid w:val="00380587"/>
    <w:rsid w:val="003822C1"/>
    <w:rsid w:val="00390402"/>
    <w:rsid w:val="003957BD"/>
    <w:rsid w:val="003961A3"/>
    <w:rsid w:val="003B4547"/>
    <w:rsid w:val="003B5C5D"/>
    <w:rsid w:val="003B6371"/>
    <w:rsid w:val="003C79F6"/>
    <w:rsid w:val="003D2143"/>
    <w:rsid w:val="003F7BE2"/>
    <w:rsid w:val="004029AD"/>
    <w:rsid w:val="00402EED"/>
    <w:rsid w:val="00406A9F"/>
    <w:rsid w:val="00406C9E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87346"/>
    <w:rsid w:val="0049188F"/>
    <w:rsid w:val="00492683"/>
    <w:rsid w:val="00496D7D"/>
    <w:rsid w:val="004A1E49"/>
    <w:rsid w:val="004A2F61"/>
    <w:rsid w:val="004B3C35"/>
    <w:rsid w:val="004C5467"/>
    <w:rsid w:val="004D053F"/>
    <w:rsid w:val="004D3FC1"/>
    <w:rsid w:val="004E5349"/>
    <w:rsid w:val="004E5B85"/>
    <w:rsid w:val="004F36D5"/>
    <w:rsid w:val="004F4D3F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51C3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43C8"/>
    <w:rsid w:val="006C7C85"/>
    <w:rsid w:val="006D447D"/>
    <w:rsid w:val="006D5E63"/>
    <w:rsid w:val="006E6C0F"/>
    <w:rsid w:val="006F0B6A"/>
    <w:rsid w:val="006F1752"/>
    <w:rsid w:val="006F2883"/>
    <w:rsid w:val="00700CA9"/>
    <w:rsid w:val="007335B7"/>
    <w:rsid w:val="00743BF3"/>
    <w:rsid w:val="007450A8"/>
    <w:rsid w:val="00746605"/>
    <w:rsid w:val="007534D7"/>
    <w:rsid w:val="00765EFB"/>
    <w:rsid w:val="00766387"/>
    <w:rsid w:val="00767E1D"/>
    <w:rsid w:val="00797116"/>
    <w:rsid w:val="007A2742"/>
    <w:rsid w:val="007B141B"/>
    <w:rsid w:val="007B1867"/>
    <w:rsid w:val="007B228E"/>
    <w:rsid w:val="007C2B91"/>
    <w:rsid w:val="007C4F4A"/>
    <w:rsid w:val="007C749E"/>
    <w:rsid w:val="007F271A"/>
    <w:rsid w:val="007F3C16"/>
    <w:rsid w:val="00827203"/>
    <w:rsid w:val="00840333"/>
    <w:rsid w:val="008419A5"/>
    <w:rsid w:val="0084389C"/>
    <w:rsid w:val="00845265"/>
    <w:rsid w:val="00846FD3"/>
    <w:rsid w:val="0085024F"/>
    <w:rsid w:val="00863790"/>
    <w:rsid w:val="00864593"/>
    <w:rsid w:val="0088412D"/>
    <w:rsid w:val="008B1989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31FF7"/>
    <w:rsid w:val="00972129"/>
    <w:rsid w:val="00992C5E"/>
    <w:rsid w:val="009C124A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3E4C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56C61"/>
    <w:rsid w:val="00B60E7C"/>
    <w:rsid w:val="00B63631"/>
    <w:rsid w:val="00B668B6"/>
    <w:rsid w:val="00B7195B"/>
    <w:rsid w:val="00B72939"/>
    <w:rsid w:val="00B72EC0"/>
    <w:rsid w:val="00B80272"/>
    <w:rsid w:val="00B86290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6091D"/>
    <w:rsid w:val="00C70B05"/>
    <w:rsid w:val="00C73995"/>
    <w:rsid w:val="00C77968"/>
    <w:rsid w:val="00C8030B"/>
    <w:rsid w:val="00C91E2B"/>
    <w:rsid w:val="00C93E03"/>
    <w:rsid w:val="00CA1AF5"/>
    <w:rsid w:val="00CC6B1F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388"/>
    <w:rsid w:val="00D51EA2"/>
    <w:rsid w:val="00D55399"/>
    <w:rsid w:val="00D82EF5"/>
    <w:rsid w:val="00D8454C"/>
    <w:rsid w:val="00D9429A"/>
    <w:rsid w:val="00DA3311"/>
    <w:rsid w:val="00DB27F2"/>
    <w:rsid w:val="00DC3F30"/>
    <w:rsid w:val="00DD0462"/>
    <w:rsid w:val="00DD2DAA"/>
    <w:rsid w:val="00DE128E"/>
    <w:rsid w:val="00DE33BF"/>
    <w:rsid w:val="00DF76AB"/>
    <w:rsid w:val="00E04EE8"/>
    <w:rsid w:val="00E106F9"/>
    <w:rsid w:val="00E20F63"/>
    <w:rsid w:val="00E34A8F"/>
    <w:rsid w:val="00E354EA"/>
    <w:rsid w:val="00E35628"/>
    <w:rsid w:val="00E43E19"/>
    <w:rsid w:val="00E47D92"/>
    <w:rsid w:val="00E5066A"/>
    <w:rsid w:val="00E6744A"/>
    <w:rsid w:val="00E74476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03CB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26B9"/>
    <w:rsid w:val="00FC6354"/>
    <w:rsid w:val="00FF15B4"/>
    <w:rsid w:val="00FF6FD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AB0B5E"/>
  <w15:docId w15:val="{72AAC5F3-0997-45B4-86E4-0E090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3"/>
    <ds:schemaRef ds:uri="b8cb3cbd-ce5c-4a72-9da4-9013f91c5903"/>
    <ds:schemaRef ds:uri="http://purl.org/dc/terms/"/>
    <ds:schemaRef ds:uri="http://schemas.openxmlformats.org/package/2006/metadata/core-properties"/>
    <ds:schemaRef ds:uri="62bda6d9-15dd-4797-9609-2d5e8913862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366289D-392D-4B56-8BB1-D957E41D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Louise Quinn</cp:lastModifiedBy>
  <cp:revision>2</cp:revision>
  <cp:lastPrinted>2016-08-10T08:54:00Z</cp:lastPrinted>
  <dcterms:created xsi:type="dcterms:W3CDTF">2019-12-06T13:44:00Z</dcterms:created>
  <dcterms:modified xsi:type="dcterms:W3CDTF">2019-12-06T13:44:00Z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